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8E" w:rsidRDefault="005E6B13" w:rsidP="005E6B13">
      <w:pPr>
        <w:jc w:val="center"/>
        <w:rPr>
          <w:b/>
        </w:rPr>
      </w:pPr>
      <w:bookmarkStart w:id="0" w:name="_GoBack"/>
      <w:bookmarkEnd w:id="0"/>
      <w:r>
        <w:rPr>
          <w:b/>
        </w:rPr>
        <w:t>Liturgy Conference</w:t>
      </w:r>
    </w:p>
    <w:p w:rsidR="005E6B13" w:rsidRDefault="005E6B13" w:rsidP="005E6B13">
      <w:pPr>
        <w:jc w:val="center"/>
        <w:rPr>
          <w:b/>
        </w:rPr>
      </w:pPr>
      <w:r>
        <w:rPr>
          <w:b/>
        </w:rPr>
        <w:t>God bless Africa: Worship for a Time like This</w:t>
      </w:r>
    </w:p>
    <w:p w:rsidR="005E6B13" w:rsidRDefault="005E6B13" w:rsidP="005E6B13">
      <w:pPr>
        <w:jc w:val="center"/>
        <w:rPr>
          <w:b/>
        </w:rPr>
      </w:pPr>
      <w:r>
        <w:rPr>
          <w:b/>
        </w:rPr>
        <w:t>17-19 March 2015</w:t>
      </w:r>
    </w:p>
    <w:p w:rsidR="005E6B13" w:rsidRDefault="005E6B13" w:rsidP="005E6B13">
      <w:pPr>
        <w:jc w:val="center"/>
        <w:rPr>
          <w:b/>
        </w:rPr>
      </w:pPr>
      <w:r>
        <w:rPr>
          <w:b/>
        </w:rPr>
        <w:t>Presentation and Participation</w:t>
      </w:r>
    </w:p>
    <w:p w:rsidR="005E6B13" w:rsidRDefault="005E6B13" w:rsidP="005E6B13">
      <w:pPr>
        <w:jc w:val="center"/>
        <w:rPr>
          <w:b/>
        </w:rPr>
      </w:pPr>
    </w:p>
    <w:p w:rsidR="005E6B13" w:rsidRPr="005E6B13" w:rsidRDefault="005E6B13" w:rsidP="005E6B13">
      <w:pPr>
        <w:pStyle w:val="ListParagraph"/>
        <w:numPr>
          <w:ilvl w:val="0"/>
          <w:numId w:val="1"/>
        </w:numPr>
        <w:rPr>
          <w:b/>
        </w:rPr>
      </w:pPr>
      <w:r>
        <w:rPr>
          <w:b/>
        </w:rPr>
        <w:t xml:space="preserve">Vatican II: </w:t>
      </w:r>
      <w:proofErr w:type="spellStart"/>
      <w:r w:rsidRPr="005E6B13">
        <w:rPr>
          <w:b/>
          <w:i/>
        </w:rPr>
        <w:t>Sacrosanctum</w:t>
      </w:r>
      <w:proofErr w:type="spellEnd"/>
      <w:r w:rsidRPr="005E6B13">
        <w:rPr>
          <w:b/>
          <w:i/>
        </w:rPr>
        <w:t xml:space="preserve"> </w:t>
      </w:r>
      <w:proofErr w:type="spellStart"/>
      <w:r w:rsidRPr="005E6B13">
        <w:rPr>
          <w:b/>
          <w:i/>
        </w:rPr>
        <w:t>Concilium</w:t>
      </w:r>
      <w:proofErr w:type="spellEnd"/>
    </w:p>
    <w:p w:rsidR="005E6B13" w:rsidRDefault="005E6B13" w:rsidP="005E6B13">
      <w:pPr>
        <w:pStyle w:val="ListParagraph"/>
        <w:rPr>
          <w:b/>
        </w:rPr>
      </w:pPr>
    </w:p>
    <w:p w:rsidR="005E6B13" w:rsidRDefault="005E6B13" w:rsidP="005E6B13">
      <w:pPr>
        <w:pStyle w:val="ListParagraph"/>
      </w:pPr>
      <w:r w:rsidRPr="005E6B13">
        <w:t>“… all the faithful should be led to that full, conscious, and active participation in liturgical celebrations which is demanded by the very nature of the liturgy, and to which the Christian people, ‘a chosen race, a royal priesthood, a holy nation, a redeemed people’ (1 Pet 2:9, 4-5) have a right and obligation by reason of their baptism.”</w:t>
      </w:r>
    </w:p>
    <w:p w:rsidR="005E6B13" w:rsidRPr="005E6B13" w:rsidRDefault="005E6B13" w:rsidP="005E6B13">
      <w:pPr>
        <w:pStyle w:val="ListParagraph"/>
      </w:pPr>
    </w:p>
    <w:p w:rsidR="005E6B13" w:rsidRDefault="005E6B13" w:rsidP="005E6B13">
      <w:pPr>
        <w:pStyle w:val="ListParagraph"/>
      </w:pPr>
      <w:r w:rsidRPr="005E6B13">
        <w:t xml:space="preserve">“Yet it would be futile to entertain any hope of realizing this unless pastors of souls, in the first place, themselves become fully imbued with the spirit and </w:t>
      </w:r>
      <w:proofErr w:type="spellStart"/>
      <w:r w:rsidRPr="005E6B13">
        <w:t>and</w:t>
      </w:r>
      <w:proofErr w:type="spellEnd"/>
      <w:r w:rsidRPr="005E6B13">
        <w:t xml:space="preserve"> power of the liturgy and capable of giving instruction about it.” (SC 1.II.14)</w:t>
      </w:r>
    </w:p>
    <w:p w:rsidR="000615F1" w:rsidRDefault="000615F1" w:rsidP="005E6B13">
      <w:pPr>
        <w:pStyle w:val="ListParagraph"/>
      </w:pPr>
    </w:p>
    <w:p w:rsidR="000615F1" w:rsidRDefault="000615F1" w:rsidP="005E6B13">
      <w:pPr>
        <w:pStyle w:val="ListParagraph"/>
      </w:pPr>
      <w:r>
        <w:t>Key phrases:</w:t>
      </w:r>
    </w:p>
    <w:p w:rsidR="000615F1" w:rsidRDefault="000615F1" w:rsidP="000615F1">
      <w:pPr>
        <w:pStyle w:val="ListParagraph"/>
        <w:numPr>
          <w:ilvl w:val="0"/>
          <w:numId w:val="2"/>
        </w:numPr>
      </w:pPr>
      <w:r>
        <w:t>all the faithful</w:t>
      </w:r>
    </w:p>
    <w:p w:rsidR="000615F1" w:rsidRDefault="000615F1" w:rsidP="000615F1">
      <w:pPr>
        <w:pStyle w:val="ListParagraph"/>
        <w:numPr>
          <w:ilvl w:val="0"/>
          <w:numId w:val="2"/>
        </w:numPr>
      </w:pPr>
      <w:r>
        <w:t>full, conscious, and active participation</w:t>
      </w:r>
    </w:p>
    <w:p w:rsidR="000615F1" w:rsidRDefault="000615F1" w:rsidP="000615F1">
      <w:pPr>
        <w:pStyle w:val="ListParagraph"/>
        <w:numPr>
          <w:ilvl w:val="0"/>
          <w:numId w:val="2"/>
        </w:numPr>
      </w:pPr>
      <w:r>
        <w:t>a right and obligation</w:t>
      </w:r>
    </w:p>
    <w:p w:rsidR="000615F1" w:rsidRDefault="000615F1" w:rsidP="000615F1">
      <w:pPr>
        <w:pStyle w:val="ListParagraph"/>
        <w:numPr>
          <w:ilvl w:val="0"/>
          <w:numId w:val="2"/>
        </w:numPr>
      </w:pPr>
      <w:r>
        <w:t>pastors imbued with the spirit and the power of the liturgy</w:t>
      </w:r>
    </w:p>
    <w:p w:rsidR="000615F1" w:rsidRPr="000615F1" w:rsidRDefault="000615F1" w:rsidP="000615F1">
      <w:pPr>
        <w:pStyle w:val="ListParagraph"/>
        <w:numPr>
          <w:ilvl w:val="0"/>
          <w:numId w:val="2"/>
        </w:numPr>
      </w:pPr>
      <w:r>
        <w:t>pastors capable of giving instruction</w:t>
      </w:r>
    </w:p>
    <w:p w:rsidR="005E6B13" w:rsidRPr="005E6B13" w:rsidRDefault="005E6B13" w:rsidP="005E6B13">
      <w:pPr>
        <w:pStyle w:val="ListParagraph"/>
      </w:pPr>
    </w:p>
    <w:p w:rsidR="005E6B13" w:rsidRDefault="005E6B13" w:rsidP="005E6B13">
      <w:pPr>
        <w:pStyle w:val="ListParagraph"/>
        <w:numPr>
          <w:ilvl w:val="0"/>
          <w:numId w:val="1"/>
        </w:numPr>
        <w:rPr>
          <w:b/>
        </w:rPr>
      </w:pPr>
      <w:r>
        <w:rPr>
          <w:b/>
        </w:rPr>
        <w:t>The Reformation</w:t>
      </w:r>
      <w:r w:rsidR="0004218C">
        <w:rPr>
          <w:b/>
        </w:rPr>
        <w:t xml:space="preserve"> and Liturgy</w:t>
      </w:r>
    </w:p>
    <w:p w:rsidR="0004218C" w:rsidRDefault="0004218C" w:rsidP="0004218C">
      <w:pPr>
        <w:pStyle w:val="ListParagraph"/>
        <w:ind w:left="360"/>
        <w:rPr>
          <w:b/>
        </w:rPr>
      </w:pPr>
    </w:p>
    <w:p w:rsidR="00966607" w:rsidRDefault="00966607" w:rsidP="00966607">
      <w:pPr>
        <w:pStyle w:val="ListParagraph"/>
        <w:numPr>
          <w:ilvl w:val="1"/>
          <w:numId w:val="1"/>
        </w:numPr>
        <w:rPr>
          <w:b/>
        </w:rPr>
      </w:pPr>
      <w:r>
        <w:rPr>
          <w:b/>
        </w:rPr>
        <w:t>The priesthood of all believers</w:t>
      </w:r>
    </w:p>
    <w:p w:rsidR="0004218C" w:rsidRDefault="0004218C" w:rsidP="0004218C">
      <w:pPr>
        <w:pStyle w:val="ListParagraph"/>
        <w:ind w:left="792"/>
        <w:rPr>
          <w:b/>
        </w:rPr>
      </w:pPr>
    </w:p>
    <w:p w:rsidR="00966607" w:rsidRDefault="00966607" w:rsidP="00966607">
      <w:pPr>
        <w:pStyle w:val="ListParagraph"/>
        <w:numPr>
          <w:ilvl w:val="1"/>
          <w:numId w:val="1"/>
        </w:numPr>
        <w:rPr>
          <w:b/>
        </w:rPr>
      </w:pPr>
      <w:r>
        <w:rPr>
          <w:b/>
        </w:rPr>
        <w:t>Use of the vernacular as liturgical language</w:t>
      </w:r>
    </w:p>
    <w:p w:rsidR="0004218C" w:rsidRDefault="0004218C" w:rsidP="0004218C">
      <w:pPr>
        <w:pStyle w:val="ListParagraph"/>
        <w:ind w:left="792"/>
        <w:rPr>
          <w:b/>
        </w:rPr>
      </w:pPr>
    </w:p>
    <w:p w:rsidR="00966607" w:rsidRDefault="00966607" w:rsidP="00966607">
      <w:pPr>
        <w:pStyle w:val="ListParagraph"/>
        <w:numPr>
          <w:ilvl w:val="1"/>
          <w:numId w:val="1"/>
        </w:numPr>
        <w:rPr>
          <w:b/>
        </w:rPr>
      </w:pPr>
      <w:r>
        <w:rPr>
          <w:b/>
        </w:rPr>
        <w:t>Use of folk music</w:t>
      </w:r>
    </w:p>
    <w:p w:rsidR="0004218C" w:rsidRDefault="0004218C" w:rsidP="0004218C">
      <w:pPr>
        <w:pStyle w:val="ListParagraph"/>
        <w:ind w:left="792"/>
        <w:rPr>
          <w:b/>
        </w:rPr>
      </w:pPr>
    </w:p>
    <w:p w:rsidR="00966607" w:rsidRDefault="00966607" w:rsidP="00966607">
      <w:pPr>
        <w:pStyle w:val="ListParagraph"/>
        <w:numPr>
          <w:ilvl w:val="1"/>
          <w:numId w:val="1"/>
        </w:numPr>
        <w:rPr>
          <w:b/>
        </w:rPr>
      </w:pPr>
      <w:r>
        <w:rPr>
          <w:b/>
        </w:rPr>
        <w:t>Participation in the Eucharist</w:t>
      </w:r>
    </w:p>
    <w:p w:rsidR="00966607" w:rsidRPr="0004218C" w:rsidRDefault="00966607" w:rsidP="00966607">
      <w:pPr>
        <w:pStyle w:val="ListParagraph"/>
        <w:numPr>
          <w:ilvl w:val="0"/>
          <w:numId w:val="3"/>
        </w:numPr>
      </w:pPr>
      <w:r w:rsidRPr="0004218C">
        <w:t>both elements</w:t>
      </w:r>
    </w:p>
    <w:p w:rsidR="00966607" w:rsidRPr="0004218C" w:rsidRDefault="00966607" w:rsidP="00966607">
      <w:pPr>
        <w:pStyle w:val="ListParagraph"/>
        <w:numPr>
          <w:ilvl w:val="0"/>
          <w:numId w:val="3"/>
        </w:numPr>
      </w:pPr>
      <w:r w:rsidRPr="0004218C">
        <w:t>orientation of the celebration</w:t>
      </w:r>
    </w:p>
    <w:p w:rsidR="00966607" w:rsidRPr="0004218C" w:rsidRDefault="00966607" w:rsidP="00966607">
      <w:pPr>
        <w:pStyle w:val="ListParagraph"/>
        <w:numPr>
          <w:ilvl w:val="0"/>
          <w:numId w:val="3"/>
        </w:numPr>
      </w:pPr>
      <w:r w:rsidRPr="0004218C">
        <w:t>table/meal instead of altar/sacrifice</w:t>
      </w:r>
    </w:p>
    <w:p w:rsidR="0004218C" w:rsidRDefault="0004218C" w:rsidP="0004218C">
      <w:pPr>
        <w:pStyle w:val="ListParagraph"/>
        <w:ind w:left="1512"/>
        <w:rPr>
          <w:b/>
        </w:rPr>
      </w:pPr>
    </w:p>
    <w:p w:rsidR="005E6B13" w:rsidRDefault="005E6B13" w:rsidP="005E6B13">
      <w:pPr>
        <w:pStyle w:val="ListParagraph"/>
        <w:numPr>
          <w:ilvl w:val="0"/>
          <w:numId w:val="1"/>
        </w:numPr>
        <w:rPr>
          <w:b/>
        </w:rPr>
      </w:pPr>
      <w:r>
        <w:rPr>
          <w:b/>
        </w:rPr>
        <w:t>Post-</w:t>
      </w:r>
      <w:proofErr w:type="spellStart"/>
      <w:r>
        <w:rPr>
          <w:b/>
        </w:rPr>
        <w:t>Reforamtion</w:t>
      </w:r>
      <w:proofErr w:type="spellEnd"/>
      <w:r>
        <w:rPr>
          <w:b/>
        </w:rPr>
        <w:t xml:space="preserve"> developments</w:t>
      </w:r>
    </w:p>
    <w:p w:rsidR="0004218C" w:rsidRDefault="0004218C" w:rsidP="0004218C">
      <w:pPr>
        <w:pStyle w:val="ListParagraph"/>
        <w:ind w:left="360"/>
        <w:rPr>
          <w:b/>
        </w:rPr>
      </w:pPr>
    </w:p>
    <w:p w:rsidR="0004218C" w:rsidRDefault="0004218C" w:rsidP="0004218C">
      <w:pPr>
        <w:pStyle w:val="ListParagraph"/>
        <w:numPr>
          <w:ilvl w:val="1"/>
          <w:numId w:val="1"/>
        </w:numPr>
        <w:rPr>
          <w:b/>
        </w:rPr>
      </w:pPr>
      <w:r>
        <w:rPr>
          <w:b/>
        </w:rPr>
        <w:t>Excessive focus on preaching</w:t>
      </w:r>
    </w:p>
    <w:p w:rsidR="0004218C" w:rsidRDefault="0004218C" w:rsidP="0004218C">
      <w:pPr>
        <w:pStyle w:val="ListParagraph"/>
        <w:ind w:left="792"/>
        <w:rPr>
          <w:b/>
        </w:rPr>
      </w:pPr>
    </w:p>
    <w:p w:rsidR="0004218C" w:rsidRDefault="0004218C" w:rsidP="0004218C">
      <w:pPr>
        <w:pStyle w:val="ListParagraph"/>
        <w:numPr>
          <w:ilvl w:val="1"/>
          <w:numId w:val="1"/>
        </w:numPr>
        <w:rPr>
          <w:b/>
        </w:rPr>
      </w:pPr>
      <w:r>
        <w:rPr>
          <w:b/>
        </w:rPr>
        <w:t>Undervaluation on the sacraments</w:t>
      </w:r>
    </w:p>
    <w:p w:rsidR="0004218C" w:rsidRDefault="0004218C" w:rsidP="0004218C">
      <w:pPr>
        <w:pStyle w:val="ListParagraph"/>
        <w:ind w:left="792"/>
        <w:rPr>
          <w:b/>
        </w:rPr>
      </w:pPr>
    </w:p>
    <w:p w:rsidR="0004218C" w:rsidRDefault="0004218C" w:rsidP="0004218C">
      <w:pPr>
        <w:pStyle w:val="ListParagraph"/>
        <w:numPr>
          <w:ilvl w:val="1"/>
          <w:numId w:val="1"/>
        </w:numPr>
        <w:rPr>
          <w:b/>
        </w:rPr>
      </w:pPr>
      <w:r>
        <w:rPr>
          <w:b/>
        </w:rPr>
        <w:t>Limited participation:</w:t>
      </w:r>
    </w:p>
    <w:p w:rsidR="0004218C" w:rsidRPr="0004218C" w:rsidRDefault="0004218C" w:rsidP="0004218C">
      <w:pPr>
        <w:pStyle w:val="ListParagraph"/>
        <w:numPr>
          <w:ilvl w:val="0"/>
          <w:numId w:val="4"/>
        </w:numPr>
        <w:rPr>
          <w:b/>
        </w:rPr>
      </w:pPr>
      <w:r>
        <w:t>Protestant Orthodoxy: intellectual participation</w:t>
      </w:r>
    </w:p>
    <w:p w:rsidR="0004218C" w:rsidRDefault="0004218C" w:rsidP="0004218C">
      <w:pPr>
        <w:pStyle w:val="ListParagraph"/>
        <w:numPr>
          <w:ilvl w:val="0"/>
          <w:numId w:val="4"/>
        </w:numPr>
        <w:rPr>
          <w:b/>
        </w:rPr>
      </w:pPr>
      <w:r>
        <w:t>Pietism: emotional participation</w:t>
      </w:r>
    </w:p>
    <w:p w:rsidR="0004218C" w:rsidRDefault="0004218C" w:rsidP="0004218C">
      <w:pPr>
        <w:pStyle w:val="ListParagraph"/>
        <w:ind w:left="360"/>
        <w:rPr>
          <w:b/>
        </w:rPr>
      </w:pPr>
    </w:p>
    <w:p w:rsidR="005E6B13" w:rsidRDefault="005E6B13" w:rsidP="005E6B13">
      <w:pPr>
        <w:pStyle w:val="ListParagraph"/>
        <w:numPr>
          <w:ilvl w:val="0"/>
          <w:numId w:val="1"/>
        </w:numPr>
        <w:rPr>
          <w:b/>
        </w:rPr>
      </w:pPr>
      <w:r>
        <w:rPr>
          <w:b/>
        </w:rPr>
        <w:t>Contemporary Challenge</w:t>
      </w:r>
    </w:p>
    <w:p w:rsidR="0004218C" w:rsidRDefault="0004218C" w:rsidP="0004218C">
      <w:pPr>
        <w:pStyle w:val="ListParagraph"/>
        <w:ind w:left="360"/>
        <w:rPr>
          <w:b/>
        </w:rPr>
      </w:pPr>
    </w:p>
    <w:p w:rsidR="0004218C" w:rsidRDefault="0004218C" w:rsidP="0004218C">
      <w:pPr>
        <w:pStyle w:val="ListParagraph"/>
        <w:numPr>
          <w:ilvl w:val="1"/>
          <w:numId w:val="1"/>
        </w:numPr>
        <w:rPr>
          <w:b/>
        </w:rPr>
      </w:pPr>
      <w:r>
        <w:rPr>
          <w:b/>
        </w:rPr>
        <w:t>Full and active participation</w:t>
      </w:r>
    </w:p>
    <w:p w:rsidR="0004218C" w:rsidRDefault="0004218C" w:rsidP="0004218C">
      <w:pPr>
        <w:pStyle w:val="ListParagraph"/>
        <w:numPr>
          <w:ilvl w:val="0"/>
          <w:numId w:val="5"/>
        </w:numPr>
      </w:pPr>
      <w:r>
        <w:t>planning</w:t>
      </w:r>
    </w:p>
    <w:p w:rsidR="0004218C" w:rsidRDefault="0004218C" w:rsidP="0004218C">
      <w:pPr>
        <w:pStyle w:val="ListParagraph"/>
        <w:numPr>
          <w:ilvl w:val="0"/>
          <w:numId w:val="5"/>
        </w:numPr>
      </w:pPr>
      <w:r>
        <w:t>presentation</w:t>
      </w:r>
    </w:p>
    <w:p w:rsidR="0004218C" w:rsidRDefault="0004218C" w:rsidP="0004218C">
      <w:pPr>
        <w:pStyle w:val="ListParagraph"/>
        <w:numPr>
          <w:ilvl w:val="0"/>
          <w:numId w:val="5"/>
        </w:numPr>
      </w:pPr>
      <w:r>
        <w:t>contextually relevant</w:t>
      </w:r>
    </w:p>
    <w:p w:rsidR="0004218C" w:rsidRPr="0004218C" w:rsidRDefault="0004218C" w:rsidP="0004218C">
      <w:pPr>
        <w:pStyle w:val="ListParagraph"/>
        <w:ind w:left="1512"/>
      </w:pPr>
    </w:p>
    <w:p w:rsidR="0004218C" w:rsidRDefault="0004218C" w:rsidP="0004218C">
      <w:pPr>
        <w:pStyle w:val="ListParagraph"/>
        <w:numPr>
          <w:ilvl w:val="1"/>
          <w:numId w:val="1"/>
        </w:numPr>
        <w:rPr>
          <w:b/>
        </w:rPr>
      </w:pPr>
      <w:r>
        <w:rPr>
          <w:b/>
        </w:rPr>
        <w:t>Sensory participation</w:t>
      </w:r>
    </w:p>
    <w:p w:rsidR="0004218C" w:rsidRDefault="0004218C" w:rsidP="0004218C">
      <w:pPr>
        <w:pStyle w:val="ListParagraph"/>
        <w:ind w:left="792"/>
        <w:rPr>
          <w:b/>
        </w:rPr>
      </w:pPr>
    </w:p>
    <w:p w:rsidR="0004218C" w:rsidRDefault="0004218C" w:rsidP="0004218C">
      <w:pPr>
        <w:pStyle w:val="ListParagraph"/>
        <w:ind w:left="792"/>
        <w:rPr>
          <w:b/>
          <w:i/>
        </w:rPr>
      </w:pPr>
      <w:r>
        <w:rPr>
          <w:b/>
        </w:rPr>
        <w:t xml:space="preserve">Don E </w:t>
      </w:r>
      <w:proofErr w:type="spellStart"/>
      <w:r>
        <w:rPr>
          <w:b/>
        </w:rPr>
        <w:t>Saliers</w:t>
      </w:r>
      <w:proofErr w:type="spellEnd"/>
      <w:r>
        <w:rPr>
          <w:b/>
        </w:rPr>
        <w:t xml:space="preserve">: </w:t>
      </w:r>
      <w:r>
        <w:rPr>
          <w:b/>
          <w:i/>
        </w:rPr>
        <w:t>Worship Come to its Senses</w:t>
      </w:r>
    </w:p>
    <w:p w:rsidR="0004218C" w:rsidRPr="0004218C" w:rsidRDefault="0004218C" w:rsidP="0004218C">
      <w:pPr>
        <w:pStyle w:val="ListParagraph"/>
        <w:numPr>
          <w:ilvl w:val="0"/>
          <w:numId w:val="6"/>
        </w:numPr>
        <w:rPr>
          <w:i/>
        </w:rPr>
      </w:pPr>
      <w:r>
        <w:t>sense of awe</w:t>
      </w:r>
    </w:p>
    <w:p w:rsidR="0004218C" w:rsidRPr="0004218C" w:rsidRDefault="0004218C" w:rsidP="0004218C">
      <w:pPr>
        <w:pStyle w:val="ListParagraph"/>
        <w:numPr>
          <w:ilvl w:val="0"/>
          <w:numId w:val="6"/>
        </w:numPr>
        <w:rPr>
          <w:i/>
        </w:rPr>
      </w:pPr>
      <w:r>
        <w:t>sense of delight</w:t>
      </w:r>
    </w:p>
    <w:p w:rsidR="0004218C" w:rsidRPr="0004218C" w:rsidRDefault="0004218C" w:rsidP="0004218C">
      <w:pPr>
        <w:pStyle w:val="ListParagraph"/>
        <w:numPr>
          <w:ilvl w:val="0"/>
          <w:numId w:val="6"/>
        </w:numPr>
        <w:rPr>
          <w:i/>
        </w:rPr>
      </w:pPr>
      <w:r>
        <w:t>sense of truth</w:t>
      </w:r>
    </w:p>
    <w:p w:rsidR="0004218C" w:rsidRPr="0004218C" w:rsidRDefault="0004218C" w:rsidP="0004218C">
      <w:pPr>
        <w:pStyle w:val="ListParagraph"/>
        <w:numPr>
          <w:ilvl w:val="0"/>
          <w:numId w:val="6"/>
        </w:numPr>
        <w:rPr>
          <w:i/>
        </w:rPr>
      </w:pPr>
      <w:r>
        <w:t>sense of hope</w:t>
      </w:r>
    </w:p>
    <w:p w:rsidR="0004218C" w:rsidRPr="0004218C" w:rsidRDefault="0004218C" w:rsidP="0004218C">
      <w:pPr>
        <w:pStyle w:val="ListParagraph"/>
        <w:ind w:left="1512"/>
        <w:rPr>
          <w:i/>
        </w:rPr>
      </w:pPr>
    </w:p>
    <w:p w:rsidR="0004218C" w:rsidRDefault="0004218C" w:rsidP="0004218C">
      <w:pPr>
        <w:pStyle w:val="ListParagraph"/>
        <w:numPr>
          <w:ilvl w:val="1"/>
          <w:numId w:val="1"/>
        </w:numPr>
        <w:rPr>
          <w:b/>
        </w:rPr>
      </w:pPr>
      <w:r>
        <w:rPr>
          <w:b/>
        </w:rPr>
        <w:t>Eucharistic participation</w:t>
      </w:r>
    </w:p>
    <w:p w:rsidR="0004218C" w:rsidRDefault="0004218C" w:rsidP="0004218C">
      <w:pPr>
        <w:pStyle w:val="ListParagraph"/>
        <w:ind w:left="792"/>
        <w:rPr>
          <w:b/>
        </w:rPr>
      </w:pPr>
    </w:p>
    <w:p w:rsidR="0004218C" w:rsidRDefault="0004218C" w:rsidP="0004218C">
      <w:pPr>
        <w:pStyle w:val="ListParagraph"/>
        <w:ind w:left="792"/>
      </w:pPr>
      <w:r>
        <w:t xml:space="preserve">The Body of Christ </w:t>
      </w:r>
      <w:r w:rsidRPr="0004218C">
        <w:rPr>
          <w:i/>
        </w:rPr>
        <w:t>around</w:t>
      </w:r>
      <w:r>
        <w:t xml:space="preserve"> the table is nourished by the Body of Christ </w:t>
      </w:r>
      <w:r w:rsidRPr="0004218C">
        <w:rPr>
          <w:i/>
        </w:rPr>
        <w:t>on</w:t>
      </w:r>
      <w:r>
        <w:t xml:space="preserve"> the table</w:t>
      </w:r>
    </w:p>
    <w:p w:rsidR="0004218C" w:rsidRPr="0004218C" w:rsidRDefault="0004218C" w:rsidP="0004218C">
      <w:pPr>
        <w:pStyle w:val="ListParagraph"/>
        <w:ind w:left="792"/>
      </w:pPr>
    </w:p>
    <w:p w:rsidR="005E6B13" w:rsidRDefault="005E6B13" w:rsidP="005E6B13">
      <w:pPr>
        <w:pStyle w:val="ListParagraph"/>
        <w:numPr>
          <w:ilvl w:val="0"/>
          <w:numId w:val="1"/>
        </w:numPr>
        <w:rPr>
          <w:b/>
        </w:rPr>
      </w:pPr>
      <w:r>
        <w:rPr>
          <w:b/>
        </w:rPr>
        <w:t>Conclusion</w:t>
      </w:r>
    </w:p>
    <w:p w:rsidR="00B05ABC" w:rsidRDefault="00B05ABC" w:rsidP="00B05ABC">
      <w:pPr>
        <w:pStyle w:val="ListParagraph"/>
        <w:ind w:left="360"/>
        <w:rPr>
          <w:b/>
        </w:rPr>
      </w:pPr>
    </w:p>
    <w:p w:rsidR="00B05ABC" w:rsidRDefault="00B05ABC" w:rsidP="00B05ABC">
      <w:pPr>
        <w:pStyle w:val="ListParagraph"/>
        <w:rPr>
          <w:b/>
          <w:i/>
          <w:lang w:val="en-US"/>
        </w:rPr>
      </w:pPr>
      <w:r>
        <w:rPr>
          <w:b/>
          <w:lang w:val="en-US"/>
        </w:rPr>
        <w:t xml:space="preserve">Shaker hymn: </w:t>
      </w:r>
      <w:r>
        <w:rPr>
          <w:b/>
          <w:i/>
          <w:lang w:val="en-US"/>
        </w:rPr>
        <w:t>Simple Gifts:</w:t>
      </w:r>
    </w:p>
    <w:p w:rsidR="00B05ABC" w:rsidRPr="00B05ABC" w:rsidRDefault="00B05ABC" w:rsidP="00B05ABC">
      <w:pPr>
        <w:pStyle w:val="ListParagraph"/>
        <w:rPr>
          <w:b/>
          <w:i/>
          <w:lang w:val="en-US"/>
        </w:rPr>
      </w:pPr>
    </w:p>
    <w:p w:rsidR="00B05ABC" w:rsidRPr="00B05ABC" w:rsidRDefault="00B05ABC" w:rsidP="00B05ABC">
      <w:pPr>
        <w:pStyle w:val="ListParagraph"/>
      </w:pPr>
      <w:proofErr w:type="spellStart"/>
      <w:r w:rsidRPr="00B05ABC">
        <w:rPr>
          <w:lang w:val="en-US"/>
        </w:rPr>
        <w:t>‘Tis</w:t>
      </w:r>
      <w:proofErr w:type="spellEnd"/>
      <w:r w:rsidRPr="00B05ABC">
        <w:rPr>
          <w:lang w:val="en-US"/>
        </w:rPr>
        <w:t xml:space="preserve"> the gift to be simple, 'tis the gift to be free </w:t>
      </w:r>
    </w:p>
    <w:p w:rsidR="00B05ABC" w:rsidRPr="00B05ABC" w:rsidRDefault="00B05ABC" w:rsidP="00B05ABC">
      <w:pPr>
        <w:pStyle w:val="ListParagraph"/>
      </w:pPr>
      <w:proofErr w:type="spellStart"/>
      <w:r w:rsidRPr="00B05ABC">
        <w:rPr>
          <w:lang w:val="en-US"/>
        </w:rPr>
        <w:t>'Tis</w:t>
      </w:r>
      <w:proofErr w:type="spellEnd"/>
      <w:r w:rsidRPr="00B05ABC">
        <w:rPr>
          <w:lang w:val="en-US"/>
        </w:rPr>
        <w:t xml:space="preserve"> the gift to come down where we ought to be,</w:t>
      </w:r>
    </w:p>
    <w:p w:rsidR="00B05ABC" w:rsidRPr="00B05ABC" w:rsidRDefault="00B05ABC" w:rsidP="00B05ABC">
      <w:pPr>
        <w:pStyle w:val="ListParagraph"/>
      </w:pPr>
      <w:r w:rsidRPr="00B05ABC">
        <w:rPr>
          <w:lang w:val="en-US"/>
        </w:rPr>
        <w:t xml:space="preserve">And when we find ourselves in the place just right, </w:t>
      </w:r>
    </w:p>
    <w:p w:rsidR="00B05ABC" w:rsidRPr="00B05ABC" w:rsidRDefault="00B05ABC" w:rsidP="00B05ABC">
      <w:pPr>
        <w:pStyle w:val="ListParagraph"/>
      </w:pPr>
      <w:proofErr w:type="spellStart"/>
      <w:r w:rsidRPr="00B05ABC">
        <w:rPr>
          <w:lang w:val="en-US"/>
        </w:rPr>
        <w:t>'Twill</w:t>
      </w:r>
      <w:proofErr w:type="spellEnd"/>
      <w:r w:rsidRPr="00B05ABC">
        <w:rPr>
          <w:lang w:val="en-US"/>
        </w:rPr>
        <w:t xml:space="preserve"> </w:t>
      </w:r>
      <w:proofErr w:type="gramStart"/>
      <w:r w:rsidRPr="00B05ABC">
        <w:rPr>
          <w:lang w:val="en-US"/>
        </w:rPr>
        <w:t>be</w:t>
      </w:r>
      <w:proofErr w:type="gramEnd"/>
      <w:r w:rsidRPr="00B05ABC">
        <w:rPr>
          <w:lang w:val="en-US"/>
        </w:rPr>
        <w:t xml:space="preserve"> in the valley of love and delight.</w:t>
      </w:r>
    </w:p>
    <w:p w:rsidR="00B05ABC" w:rsidRPr="00B05ABC" w:rsidRDefault="00B05ABC" w:rsidP="00B05ABC">
      <w:pPr>
        <w:pStyle w:val="ListParagraph"/>
      </w:pPr>
      <w:r w:rsidRPr="00B05ABC">
        <w:rPr>
          <w:lang w:val="en-US"/>
        </w:rPr>
        <w:t xml:space="preserve">When true simplicity is gained, </w:t>
      </w:r>
    </w:p>
    <w:p w:rsidR="00B05ABC" w:rsidRPr="00B05ABC" w:rsidRDefault="00B05ABC" w:rsidP="00B05ABC">
      <w:pPr>
        <w:pStyle w:val="ListParagraph"/>
      </w:pPr>
      <w:r w:rsidRPr="00B05ABC">
        <w:rPr>
          <w:lang w:val="en-US"/>
        </w:rPr>
        <w:t>To bow and to bend we shan't be ashamed,</w:t>
      </w:r>
    </w:p>
    <w:p w:rsidR="00B05ABC" w:rsidRPr="00B05ABC" w:rsidRDefault="00B05ABC" w:rsidP="00B05ABC">
      <w:pPr>
        <w:pStyle w:val="ListParagraph"/>
      </w:pPr>
      <w:r w:rsidRPr="00B05ABC">
        <w:rPr>
          <w:lang w:val="en-US"/>
        </w:rPr>
        <w:t xml:space="preserve">To turn, turn will be our delight, </w:t>
      </w:r>
    </w:p>
    <w:p w:rsidR="00B05ABC" w:rsidRPr="00B05ABC" w:rsidRDefault="00B05ABC" w:rsidP="00B05ABC">
      <w:pPr>
        <w:pStyle w:val="ListParagraph"/>
      </w:pPr>
      <w:r w:rsidRPr="00B05ABC">
        <w:rPr>
          <w:lang w:val="en-US"/>
        </w:rPr>
        <w:t>Till by turning, turning we come 'round right.</w:t>
      </w:r>
    </w:p>
    <w:p w:rsidR="00B05ABC" w:rsidRPr="005E6B13" w:rsidRDefault="00B05ABC" w:rsidP="00B05ABC">
      <w:pPr>
        <w:pStyle w:val="ListParagraph"/>
        <w:ind w:left="360"/>
        <w:rPr>
          <w:b/>
        </w:rPr>
      </w:pPr>
    </w:p>
    <w:sectPr w:rsidR="00B05ABC" w:rsidRPr="005E6B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7D" w:rsidRDefault="002E217D" w:rsidP="0004218C">
      <w:pPr>
        <w:spacing w:after="0" w:line="240" w:lineRule="auto"/>
      </w:pPr>
      <w:r>
        <w:separator/>
      </w:r>
    </w:p>
  </w:endnote>
  <w:endnote w:type="continuationSeparator" w:id="0">
    <w:p w:rsidR="002E217D" w:rsidRDefault="002E217D" w:rsidP="0004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6184"/>
      <w:docPartObj>
        <w:docPartGallery w:val="Page Numbers (Bottom of Page)"/>
        <w:docPartUnique/>
      </w:docPartObj>
    </w:sdtPr>
    <w:sdtEndPr>
      <w:rPr>
        <w:noProof/>
      </w:rPr>
    </w:sdtEndPr>
    <w:sdtContent>
      <w:p w:rsidR="0004218C" w:rsidRDefault="0004218C">
        <w:pPr>
          <w:pStyle w:val="Footer"/>
          <w:jc w:val="center"/>
        </w:pPr>
        <w:r>
          <w:fldChar w:fldCharType="begin"/>
        </w:r>
        <w:r>
          <w:instrText xml:space="preserve"> PAGE   \* MERGEFORMAT </w:instrText>
        </w:r>
        <w:r>
          <w:fldChar w:fldCharType="separate"/>
        </w:r>
        <w:r w:rsidR="008F6D9D">
          <w:rPr>
            <w:noProof/>
          </w:rPr>
          <w:t>1</w:t>
        </w:r>
        <w:r>
          <w:rPr>
            <w:noProof/>
          </w:rPr>
          <w:fldChar w:fldCharType="end"/>
        </w:r>
      </w:p>
    </w:sdtContent>
  </w:sdt>
  <w:p w:rsidR="0004218C" w:rsidRDefault="0004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7D" w:rsidRDefault="002E217D" w:rsidP="0004218C">
      <w:pPr>
        <w:spacing w:after="0" w:line="240" w:lineRule="auto"/>
      </w:pPr>
      <w:r>
        <w:separator/>
      </w:r>
    </w:p>
  </w:footnote>
  <w:footnote w:type="continuationSeparator" w:id="0">
    <w:p w:rsidR="002E217D" w:rsidRDefault="002E217D" w:rsidP="00042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07F9"/>
    <w:multiLevelType w:val="hybridMultilevel"/>
    <w:tmpl w:val="FE0A5330"/>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1">
    <w:nsid w:val="3BD33CD0"/>
    <w:multiLevelType w:val="hybridMultilevel"/>
    <w:tmpl w:val="8B5A9C8C"/>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2">
    <w:nsid w:val="622F6F88"/>
    <w:multiLevelType w:val="hybridMultilevel"/>
    <w:tmpl w:val="E1D2E290"/>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3">
    <w:nsid w:val="62452F13"/>
    <w:multiLevelType w:val="hybridMultilevel"/>
    <w:tmpl w:val="441E8C62"/>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4">
    <w:nsid w:val="640B49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317023"/>
    <w:multiLevelType w:val="hybridMultilevel"/>
    <w:tmpl w:val="633A18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13"/>
    <w:rsid w:val="0004218C"/>
    <w:rsid w:val="000615F1"/>
    <w:rsid w:val="002E217D"/>
    <w:rsid w:val="005E6B13"/>
    <w:rsid w:val="007C5536"/>
    <w:rsid w:val="008F6D9D"/>
    <w:rsid w:val="00913E48"/>
    <w:rsid w:val="00966607"/>
    <w:rsid w:val="00A9708E"/>
    <w:rsid w:val="00B05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13"/>
    <w:pPr>
      <w:ind w:left="720"/>
      <w:contextualSpacing/>
    </w:pPr>
  </w:style>
  <w:style w:type="paragraph" w:styleId="Header">
    <w:name w:val="header"/>
    <w:basedOn w:val="Normal"/>
    <w:link w:val="HeaderChar"/>
    <w:uiPriority w:val="99"/>
    <w:unhideWhenUsed/>
    <w:rsid w:val="00042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8C"/>
  </w:style>
  <w:style w:type="paragraph" w:styleId="Footer">
    <w:name w:val="footer"/>
    <w:basedOn w:val="Normal"/>
    <w:link w:val="FooterChar"/>
    <w:uiPriority w:val="99"/>
    <w:unhideWhenUsed/>
    <w:rsid w:val="00042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13"/>
    <w:pPr>
      <w:ind w:left="720"/>
      <w:contextualSpacing/>
    </w:pPr>
  </w:style>
  <w:style w:type="paragraph" w:styleId="Header">
    <w:name w:val="header"/>
    <w:basedOn w:val="Normal"/>
    <w:link w:val="HeaderChar"/>
    <w:uiPriority w:val="99"/>
    <w:unhideWhenUsed/>
    <w:rsid w:val="00042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8C"/>
  </w:style>
  <w:style w:type="paragraph" w:styleId="Footer">
    <w:name w:val="footer"/>
    <w:basedOn w:val="Normal"/>
    <w:link w:val="FooterChar"/>
    <w:uiPriority w:val="99"/>
    <w:unhideWhenUsed/>
    <w:rsid w:val="00042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7659">
      <w:bodyDiv w:val="1"/>
      <w:marLeft w:val="0"/>
      <w:marRight w:val="0"/>
      <w:marTop w:val="0"/>
      <w:marBottom w:val="0"/>
      <w:divBdr>
        <w:top w:val="none" w:sz="0" w:space="0" w:color="auto"/>
        <w:left w:val="none" w:sz="0" w:space="0" w:color="auto"/>
        <w:bottom w:val="none" w:sz="0" w:space="0" w:color="auto"/>
        <w:right w:val="none" w:sz="0" w:space="0" w:color="auto"/>
      </w:divBdr>
    </w:div>
    <w:div w:id="15804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Batt, Joanie &lt;jcab@sun.ac.za&gt;</cp:lastModifiedBy>
  <cp:revision>2</cp:revision>
  <dcterms:created xsi:type="dcterms:W3CDTF">2015-03-25T10:59:00Z</dcterms:created>
  <dcterms:modified xsi:type="dcterms:W3CDTF">2015-03-25T10:59:00Z</dcterms:modified>
</cp:coreProperties>
</file>